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13F54DC9" w:rsidR="001E0E46" w:rsidRPr="001E0E46"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Meeting #9</w:t>
      </w:r>
      <w:r w:rsidR="00E769B7">
        <w:rPr>
          <w:rFonts w:ascii="Times New Roman" w:eastAsia="SimSun" w:hAnsi="Times New Roman"/>
          <w:b/>
          <w:sz w:val="24"/>
          <w:lang w:val="en-US" w:eastAsia="zh-CN"/>
        </w:rPr>
        <w:t>3</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w:t>
      </w:r>
      <w:r w:rsidR="006B334D">
        <w:rPr>
          <w:rFonts w:ascii="Times New Roman" w:eastAsia="SimSun" w:hAnsi="Times New Roman"/>
          <w:b/>
          <w:sz w:val="24"/>
          <w:lang w:val="en-US" w:eastAsia="zh-CN"/>
        </w:rPr>
        <w:t>R1-1807019</w:t>
      </w:r>
    </w:p>
    <w:p w14:paraId="26F9CCC6" w14:textId="35DB6E6F" w:rsidR="001375CD" w:rsidRPr="001E0E46" w:rsidRDefault="00E769B7"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Busan, Korea</w:t>
      </w:r>
      <w:r w:rsidR="001E0E46"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May</w:t>
      </w:r>
      <w:r w:rsidR="001E0E46"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21</w:t>
      </w:r>
      <w:r w:rsidRPr="00E769B7">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001E0E46" w:rsidRPr="001E0E46">
        <w:rPr>
          <w:rFonts w:ascii="Times New Roman" w:eastAsia="SimSun" w:hAnsi="Times New Roman"/>
          <w:b/>
          <w:sz w:val="24"/>
          <w:lang w:val="en-US" w:eastAsia="zh-CN"/>
        </w:rPr>
        <w:t>– 2</w:t>
      </w:r>
      <w:r>
        <w:rPr>
          <w:rFonts w:ascii="Times New Roman" w:eastAsia="SimSun" w:hAnsi="Times New Roman"/>
          <w:b/>
          <w:sz w:val="24"/>
          <w:lang w:val="en-US" w:eastAsia="zh-CN"/>
        </w:rPr>
        <w:t>5</w:t>
      </w:r>
      <w:r w:rsidR="00F151AF" w:rsidRPr="00F151AF">
        <w:rPr>
          <w:rFonts w:ascii="Times New Roman" w:eastAsia="SimSun" w:hAnsi="Times New Roman"/>
          <w:b/>
          <w:sz w:val="24"/>
          <w:vertAlign w:val="superscript"/>
          <w:lang w:val="en-US" w:eastAsia="zh-CN"/>
        </w:rPr>
        <w:t>th</w:t>
      </w:r>
      <w:r w:rsidR="001E0E46"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23C2C679"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E769B7">
        <w:rPr>
          <w:rFonts w:ascii="Times New Roman" w:hAnsi="Times New Roman"/>
          <w:b/>
          <w:bCs/>
          <w:sz w:val="24"/>
          <w:lang w:val="en-US"/>
        </w:rPr>
        <w:t>3.1</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24538F25"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E769B7">
        <w:rPr>
          <w:b/>
          <w:bCs/>
          <w:sz w:val="24"/>
          <w:lang w:val="en-US"/>
        </w:rPr>
        <w:t>Rain and cloud attenuation in NTN channel model</w:t>
      </w:r>
    </w:p>
    <w:p w14:paraId="20F2A3ED" w14:textId="278245FD"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12579F8C" w14:textId="7C918B5B" w:rsidR="00FA007C" w:rsidRDefault="00412F93" w:rsidP="004E1513">
      <w:pPr>
        <w:rPr>
          <w:lang w:val="sv-SE"/>
        </w:rPr>
      </w:pPr>
      <w:r w:rsidRPr="006C7352">
        <w:rPr>
          <w:lang w:val="sv-SE"/>
        </w:rPr>
        <w:t>It</w:t>
      </w:r>
      <w:r>
        <w:rPr>
          <w:lang w:val="sv-SE"/>
        </w:rPr>
        <w:t xml:space="preserve"> was agreed in [1] that the basic path loss</w:t>
      </w:r>
      <w:r w:rsidR="005E246B">
        <w:rPr>
          <w:lang w:val="sv-SE"/>
        </w:rPr>
        <w:t xml:space="preserve"> for the earth-space path</w:t>
      </w:r>
      <w:r>
        <w:rPr>
          <w:lang w:val="sv-SE"/>
        </w:rPr>
        <w:t xml:space="preserve"> in the NTN channel model is composed of the free space basic path loss, attenuation </w:t>
      </w:r>
      <w:r w:rsidR="00EE52F2">
        <w:rPr>
          <w:lang w:val="sv-SE"/>
        </w:rPr>
        <w:t>due to atmospheric ga</w:t>
      </w:r>
      <w:r w:rsidRPr="006C7352">
        <w:rPr>
          <w:lang w:val="sv-SE"/>
        </w:rPr>
        <w:t>ses</w:t>
      </w:r>
      <w:r>
        <w:rPr>
          <w:lang w:val="sv-SE"/>
        </w:rPr>
        <w:t xml:space="preserve"> and scintillations, clutter loss, and building entry loss for the clear-air transmission. In </w:t>
      </w:r>
      <w:r w:rsidR="00EE52F2">
        <w:rPr>
          <w:lang w:val="sv-SE"/>
        </w:rPr>
        <w:t>addition, atmospheric phenomenon involving water or water vapor such as rain, snow</w:t>
      </w:r>
      <w:r w:rsidR="0050778C">
        <w:rPr>
          <w:lang w:val="sv-SE"/>
        </w:rPr>
        <w:t>, and</w:t>
      </w:r>
      <w:r w:rsidR="00EE52F2">
        <w:rPr>
          <w:lang w:val="sv-SE"/>
        </w:rPr>
        <w:t xml:space="preserve"> clouds</w:t>
      </w:r>
      <w:r w:rsidR="002148EC">
        <w:rPr>
          <w:lang w:val="sv-SE"/>
        </w:rPr>
        <w:t xml:space="preserve"> can contribute to attenuation</w:t>
      </w:r>
      <w:r w:rsidR="006233C8">
        <w:rPr>
          <w:lang w:val="sv-SE"/>
        </w:rPr>
        <w:t xml:space="preserve"> on the earth-space path</w:t>
      </w:r>
      <w:r>
        <w:rPr>
          <w:lang w:val="sv-SE"/>
        </w:rPr>
        <w:t>.</w:t>
      </w:r>
      <w:r w:rsidR="0050778C">
        <w:rPr>
          <w:lang w:val="sv-SE"/>
        </w:rPr>
        <w:t xml:space="preserve"> Rain attenuation can generally be ignored at frequencies below 5 GHz, however, it can </w:t>
      </w:r>
      <w:r w:rsidR="002148EC">
        <w:rPr>
          <w:lang w:val="sv-SE"/>
        </w:rPr>
        <w:t>be significant</w:t>
      </w:r>
      <w:r w:rsidR="0050778C">
        <w:rPr>
          <w:lang w:val="sv-SE"/>
        </w:rPr>
        <w:t xml:space="preserve"> at higher frequencies. Similarly, attenuation due to clouds </w:t>
      </w:r>
      <w:r w:rsidR="00596E5F">
        <w:rPr>
          <w:lang w:val="sv-SE"/>
        </w:rPr>
        <w:t>may be important when considering earth-space paths for frequencies greater than 10 GHz.</w:t>
      </w:r>
      <w:r w:rsidR="005E246B">
        <w:rPr>
          <w:lang w:val="sv-SE"/>
        </w:rPr>
        <w:t xml:space="preserve"> In this document, we provide models that capture the effects of rain and cloud attenuation, which can be </w:t>
      </w:r>
      <w:r w:rsidR="00557F2A">
        <w:rPr>
          <w:lang w:val="sv-SE"/>
        </w:rPr>
        <w:t xml:space="preserve">included </w:t>
      </w:r>
      <w:r w:rsidR="002148EC">
        <w:rPr>
          <w:lang w:val="sv-SE"/>
        </w:rPr>
        <w:t xml:space="preserve">in </w:t>
      </w:r>
      <w:r w:rsidR="00403182">
        <w:rPr>
          <w:lang w:val="sv-SE"/>
        </w:rPr>
        <w:t>design calculations of ear</w:t>
      </w:r>
      <w:r w:rsidR="00B65317">
        <w:rPr>
          <w:lang w:val="sv-SE"/>
        </w:rPr>
        <w:t xml:space="preserve">th-space paths </w:t>
      </w:r>
      <w:r w:rsidR="002148EC">
        <w:rPr>
          <w:lang w:val="sv-SE"/>
        </w:rPr>
        <w:t>for</w:t>
      </w:r>
      <w:r w:rsidR="00B65317">
        <w:rPr>
          <w:lang w:val="sv-SE"/>
        </w:rPr>
        <w:t xml:space="preserve"> the NTN channel model. </w:t>
      </w:r>
      <w:r w:rsidR="00596E5F">
        <w:rPr>
          <w:lang w:val="sv-SE"/>
        </w:rPr>
        <w:t xml:space="preserve"> </w:t>
      </w:r>
      <w:r w:rsidR="0050778C">
        <w:rPr>
          <w:lang w:val="sv-SE"/>
        </w:rPr>
        <w:t xml:space="preserve"> </w:t>
      </w:r>
    </w:p>
    <w:p w14:paraId="5DBF735D" w14:textId="77777777" w:rsidR="00B65317" w:rsidRPr="001E0E46" w:rsidRDefault="00B65317" w:rsidP="004E1513">
      <w:pPr>
        <w:rPr>
          <w:sz w:val="20"/>
        </w:rPr>
      </w:pPr>
    </w:p>
    <w:p w14:paraId="411E7BBD" w14:textId="4F2992BA" w:rsidR="00085A01" w:rsidRPr="00BC024D" w:rsidRDefault="00752645" w:rsidP="00085A01">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Rain attenuation</w:t>
      </w:r>
      <w:r w:rsidR="004555E3" w:rsidRPr="00BC024D">
        <w:rPr>
          <w:rFonts w:ascii="Times New Roman" w:hAnsi="Times New Roman"/>
          <w:b/>
          <w:sz w:val="32"/>
          <w:szCs w:val="32"/>
        </w:rPr>
        <w:t xml:space="preserve"> </w:t>
      </w:r>
    </w:p>
    <w:p w14:paraId="48B1E7B4" w14:textId="30795179" w:rsidR="00752645" w:rsidRDefault="00752645" w:rsidP="00752645">
      <w:r>
        <w:t>Rain attenuation occurs as a result of absorption and scattering by rain. It cannot be ignored at frequencies above about 5GHz. R</w:t>
      </w:r>
      <w:r w:rsidRPr="00B71BE8">
        <w:t xml:space="preserve">ain attenuation is measured by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sidRPr="00B71BE8">
        <w:rPr>
          <w:rFonts w:eastAsiaTheme="minorEastAsia"/>
        </w:rPr>
        <w:t xml:space="preserve"> </w:t>
      </w:r>
      <w:r w:rsidRPr="00B71BE8">
        <w:t xml:space="preserve">(dB), which means the attenuation exceeds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sidRPr="00B71BE8">
        <w:t xml:space="preserve"> dB for </w:t>
      </w:r>
      <m:oMath>
        <m:r>
          <w:rPr>
            <w:rFonts w:ascii="Cambria Math" w:hAnsi="Cambria Math"/>
          </w:rPr>
          <m:t>p</m:t>
        </m:r>
      </m:oMath>
      <w:r w:rsidRPr="00B71BE8">
        <w:t xml:space="preserve"> percent of time</w:t>
      </w:r>
      <w:r>
        <w:t xml:space="preserve">. In [2], two models are presented to estimate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t xml:space="preserve">. The first model, presented in </w:t>
      </w:r>
      <w:r w:rsidRPr="00535681">
        <w:t>§2.4.1</w:t>
      </w:r>
      <w:r>
        <w:t xml:space="preserve"> of [2], estimates the long-term</w:t>
      </w:r>
      <w:r w:rsidRPr="00535681">
        <w:t xml:space="preserve"> </w:t>
      </w:r>
      <w:r>
        <w:t xml:space="preserve">attenuation caused by liquid rain. The attenuation </w:t>
      </w:r>
      <w:r w:rsidRPr="00B71BE8">
        <w:t xml:space="preserve">is </w:t>
      </w:r>
      <w:r>
        <w:t xml:space="preserve">affected by the signal frequency, path length, path elevation angle, polarization, rain rate, etc. The second model, presented in </w:t>
      </w:r>
      <w:r w:rsidRPr="00535681">
        <w:t>§</w:t>
      </w:r>
      <w:r>
        <w:t>2.4.2 of [2], estimate</w:t>
      </w:r>
      <w:r w:rsidR="00C45635">
        <w:t>s</w:t>
      </w:r>
      <w:r>
        <w:t xml:space="preserve"> the attenuation caused by rain and wet snow. The estimated attenuation from the first model is used as preliminary information in the second model.</w:t>
      </w:r>
    </w:p>
    <w:p w14:paraId="6C12B0BD" w14:textId="77777777" w:rsidR="00752645" w:rsidRDefault="00752645" w:rsidP="00752645">
      <w:r>
        <w:t xml:space="preserve">The difference between these two models is that the second one considers the effect of melting ice particle or wet snow in the melting layer. Therefore, whether the first model or the second model should be used depend on the altitudes of the transmitter and receiver. If both are located above the melting layer, then there is no attenuation due to rain or wet snow. If both are located below the melting layer, then the first attenuation model should be considered. If one is above the melting layer while the other is below, then the second attenuation should be considered. The estimated height of the mean annual </w:t>
      </w:r>
      <w:r w:rsidRPr="009A06CA">
        <w:t>0°C</w:t>
      </w:r>
      <w:r>
        <w:t xml:space="preserve"> isotherm in the melting layer, where the wet snow is located, is given in [3]. It is shown that the height is smaller than 7 km for any longitude and latitude. According to [4], the height of HAS, LEO, and GEO is much larger than the </w:t>
      </w:r>
      <w:r w:rsidRPr="009A06CA">
        <w:t>0°C</w:t>
      </w:r>
      <w:r>
        <w:t xml:space="preserve"> isotherm height. Therefore, the second attenuation model should be considered.</w:t>
      </w:r>
    </w:p>
    <w:p w14:paraId="7AA2CDAA" w14:textId="6E9CD843" w:rsidR="008A0B24" w:rsidRPr="001E0E46" w:rsidRDefault="00752645" w:rsidP="004251E3">
      <w:pPr>
        <w:rPr>
          <w:sz w:val="20"/>
          <w:lang w:eastAsia="sv-SE"/>
        </w:rPr>
      </w:pPr>
      <w:r w:rsidRPr="00DF15C2">
        <w:rPr>
          <w:b/>
          <w:i/>
          <w:u w:val="single"/>
        </w:rPr>
        <w:t>Proposal</w:t>
      </w:r>
      <w:r>
        <w:rPr>
          <w:b/>
          <w:i/>
          <w:u w:val="single"/>
        </w:rPr>
        <w:t xml:space="preserve"> 1</w:t>
      </w:r>
      <w:r w:rsidRPr="00DF15C2">
        <w:rPr>
          <w:b/>
          <w:i/>
          <w:u w:val="single"/>
        </w:rPr>
        <w:t>:</w:t>
      </w:r>
      <w:r w:rsidRPr="00DF15C2">
        <w:t xml:space="preserve"> </w:t>
      </w:r>
      <w:r>
        <w:rPr>
          <w:i/>
        </w:rPr>
        <w:t>Rain</w:t>
      </w:r>
      <w:r w:rsidRPr="00DF15C2">
        <w:rPr>
          <w:i/>
        </w:rPr>
        <w:t xml:space="preserve"> </w:t>
      </w:r>
      <w:r>
        <w:rPr>
          <w:i/>
        </w:rPr>
        <w:t>attenuation should be considered for frequencies above 6 GHz</w:t>
      </w:r>
      <w:r w:rsidRPr="00DF15C2">
        <w:rPr>
          <w:i/>
        </w:rPr>
        <w:t>.</w:t>
      </w:r>
      <w:r>
        <w:rPr>
          <w:i/>
        </w:rPr>
        <w:t xml:space="preserve"> The combined rain and wet snow attenuation model </w:t>
      </w:r>
      <w:r w:rsidR="00D31365">
        <w:rPr>
          <w:i/>
        </w:rPr>
        <w:t>should be based on</w:t>
      </w:r>
      <w:r>
        <w:rPr>
          <w:i/>
        </w:rPr>
        <w:t xml:space="preserve"> </w:t>
      </w:r>
      <w:r w:rsidRPr="00F90F4D">
        <w:rPr>
          <w:i/>
        </w:rPr>
        <w:t xml:space="preserve">§2.4.2 </w:t>
      </w:r>
      <w:r>
        <w:rPr>
          <w:i/>
        </w:rPr>
        <w:t>of ITU-R P. 530.</w:t>
      </w:r>
    </w:p>
    <w:p w14:paraId="570E10A7" w14:textId="5F7D3E98" w:rsidR="00180B6F" w:rsidRPr="00BC024D" w:rsidRDefault="00CF0B86" w:rsidP="006C59FF">
      <w:pPr>
        <w:pStyle w:val="Heading1"/>
        <w:rPr>
          <w:rFonts w:ascii="Times New Roman" w:hAnsi="Times New Roman"/>
          <w:b/>
          <w:sz w:val="32"/>
          <w:szCs w:val="32"/>
          <w:lang w:val="en-US"/>
        </w:rPr>
      </w:pPr>
      <w:r>
        <w:rPr>
          <w:rFonts w:ascii="Times New Roman" w:hAnsi="Times New Roman"/>
          <w:b/>
          <w:sz w:val="32"/>
          <w:szCs w:val="32"/>
        </w:rPr>
        <w:t>Cloud attenuation</w:t>
      </w:r>
    </w:p>
    <w:p w14:paraId="595B9080" w14:textId="77777777" w:rsidR="00CF0B86" w:rsidRDefault="00CF0B86" w:rsidP="00CF0B86">
      <w:pPr>
        <w:rPr>
          <w:rFonts w:eastAsiaTheme="minorEastAsia"/>
        </w:rPr>
      </w:pPr>
      <w:r>
        <w:t>Cloud or fog can be considered as small rain droplets whose size is much smaller than rain. Similar to rain attenuation, the effects of cloud attenuation are more pronounced with increasing frequency. Cloud</w:t>
      </w:r>
      <w:r w:rsidRPr="00B71BE8">
        <w:t xml:space="preserve"> attenuation is</w:t>
      </w:r>
      <w:r>
        <w:t xml:space="preserve"> also</w:t>
      </w:r>
      <w:r w:rsidRPr="00B71BE8">
        <w:t xml:space="preserve"> measured by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sidRPr="00B71BE8">
        <w:rPr>
          <w:rFonts w:eastAsiaTheme="minorEastAsia"/>
        </w:rPr>
        <w:t xml:space="preserve"> </w:t>
      </w:r>
      <w:r w:rsidRPr="00B71BE8">
        <w:t xml:space="preserve">(dB), which means the attenuation exceeds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sidRPr="00B71BE8">
        <w:t xml:space="preserve"> dB for </w:t>
      </w:r>
      <m:oMath>
        <m:r>
          <w:rPr>
            <w:rFonts w:ascii="Cambria Math" w:hAnsi="Cambria Math"/>
          </w:rPr>
          <m:t>p</m:t>
        </m:r>
      </m:oMath>
      <w:r w:rsidRPr="00B71BE8">
        <w:t xml:space="preserve"> percent of time</w:t>
      </w:r>
      <w:r>
        <w:t xml:space="preserve">. A model is presented in </w:t>
      </w:r>
      <w:r w:rsidRPr="00535681">
        <w:t>§</w:t>
      </w:r>
      <w:r>
        <w:t xml:space="preserve">3.1 of [5] to estimate the cloud attenuation. </w:t>
      </w:r>
      <m:oMath>
        <m:sSub>
          <m:sSubPr>
            <m:ctrlPr>
              <w:rPr>
                <w:rFonts w:ascii="Cambria Math" w:hAnsi="Cambria Math"/>
                <w:i/>
              </w:rPr>
            </m:ctrlPr>
          </m:sSubPr>
          <m:e>
            <m:r>
              <w:rPr>
                <w:rFonts w:ascii="Cambria Math" w:hAnsi="Cambria Math"/>
              </w:rPr>
              <m:t>A</m:t>
            </m:r>
          </m:e>
          <m:sub>
            <m:r>
              <w:rPr>
                <w:rFonts w:ascii="Cambria Math" w:hAnsi="Cambria Math"/>
              </w:rPr>
              <m:t>p</m:t>
            </m:r>
          </m:sub>
        </m:sSub>
      </m:oMath>
      <w:r>
        <w:rPr>
          <w:rFonts w:eastAsiaTheme="minorEastAsia"/>
        </w:rPr>
        <w:t xml:space="preserve"> is given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CF0B86" w:rsidRPr="00B442FB" w14:paraId="622B905C" w14:textId="77777777" w:rsidTr="004058A3">
        <w:trPr>
          <w:trHeight w:val="224"/>
        </w:trPr>
        <w:tc>
          <w:tcPr>
            <w:tcW w:w="9378" w:type="dxa"/>
            <w:hideMark/>
          </w:tcPr>
          <w:p w14:paraId="28C3648E" w14:textId="77777777" w:rsidR="00CF0B86" w:rsidRPr="00B442FB" w:rsidRDefault="00836434" w:rsidP="004058A3">
            <m:oMathPara>
              <m:oMathParaPr>
                <m:jc m:val="center"/>
              </m:oMathParaP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red</m:t>
                        </m:r>
                      </m:sub>
                    </m:sSub>
                    <m:sSub>
                      <m:sSubPr>
                        <m:ctrlPr>
                          <w:rPr>
                            <w:rFonts w:ascii="Cambria Math" w:hAnsi="Cambria Math"/>
                            <w:i/>
                          </w:rPr>
                        </m:ctrlPr>
                      </m:sSubPr>
                      <m:e>
                        <m:r>
                          <w:rPr>
                            <w:rFonts w:ascii="Cambria Math" w:hAnsi="Cambria Math"/>
                          </w:rPr>
                          <m:t>K</m:t>
                        </m:r>
                      </m:e>
                      <m:sub>
                        <m:r>
                          <w:rPr>
                            <w:rFonts w:ascii="Cambria Math" w:hAnsi="Cambria Math"/>
                          </w:rPr>
                          <m:t>l</m:t>
                        </m:r>
                      </m:sub>
                    </m:sSub>
                    <m:d>
                      <m:dPr>
                        <m:ctrlPr>
                          <w:rPr>
                            <w:rFonts w:ascii="Cambria Math" w:hAnsi="Cambria Math"/>
                            <w:i/>
                          </w:rPr>
                        </m:ctrlPr>
                      </m:dPr>
                      <m:e>
                        <m:r>
                          <w:rPr>
                            <w:rFonts w:ascii="Cambria Math" w:hAnsi="Cambria Math"/>
                          </w:rPr>
                          <m:t>f,273.15</m:t>
                        </m:r>
                      </m:e>
                    </m:d>
                  </m:num>
                  <m:den>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den>
                </m:f>
                <m:r>
                  <w:rPr>
                    <w:rFonts w:ascii="Cambria Math" w:hAnsi="Cambria Math"/>
                  </w:rPr>
                  <m:t xml:space="preserve"> ,</m:t>
                </m:r>
              </m:oMath>
            </m:oMathPara>
          </w:p>
        </w:tc>
        <w:tc>
          <w:tcPr>
            <w:tcW w:w="477" w:type="dxa"/>
            <w:hideMark/>
          </w:tcPr>
          <w:p w14:paraId="6AF55E32" w14:textId="77777777" w:rsidR="00CF0B86" w:rsidRPr="00B442FB" w:rsidRDefault="00CF0B86" w:rsidP="004058A3">
            <w:pPr>
              <w:jc w:val="right"/>
            </w:pPr>
            <w:r w:rsidRPr="00B442FB">
              <w:t>(1)</w:t>
            </w:r>
          </w:p>
        </w:tc>
      </w:tr>
    </w:tbl>
    <w:p w14:paraId="3C4DFE5A" w14:textId="6F48B2D9" w:rsidR="00CF0B86" w:rsidRDefault="00CF0B86" w:rsidP="00CF0B86">
      <w:r>
        <w:t xml:space="preserve">where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red</m:t>
            </m:r>
          </m:sub>
        </m:sSub>
      </m:oMath>
      <w:r w:rsidRPr="00B44EBE">
        <w:t xml:space="preserve"> (kg/m</w:t>
      </w:r>
      <w:r w:rsidRPr="00B44EBE">
        <w:rPr>
          <w:vertAlign w:val="superscript"/>
        </w:rPr>
        <w:t>2</w:t>
      </w:r>
      <w:r>
        <w:t xml:space="preserve">) </w:t>
      </w:r>
      <w:r w:rsidRPr="00B44EBE">
        <w:t xml:space="preserve">is the total columnar content of liquid water reduced to a temperature of 273.15 K at the probability </w:t>
      </w:r>
      <m:oMath>
        <m:r>
          <w:rPr>
            <w:rFonts w:ascii="Cambria Math" w:hAnsi="Cambria Math"/>
          </w:rPr>
          <m:t>p</m:t>
        </m:r>
      </m:oMath>
      <w:r>
        <w:t>.</w:t>
      </w:r>
      <w:r w:rsidRPr="00B44EBE">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l</m:t>
            </m:r>
          </m:sub>
        </m:sSub>
        <m:d>
          <m:dPr>
            <m:ctrlPr>
              <w:rPr>
                <w:rFonts w:ascii="Cambria Math" w:hAnsi="Cambria Math"/>
              </w:rPr>
            </m:ctrlPr>
          </m:dPr>
          <m:e>
            <m:r>
              <m:rPr>
                <m:sty m:val="p"/>
              </m:rPr>
              <w:rPr>
                <w:rFonts w:ascii="Cambria Math" w:hAnsi="Cambria Math"/>
              </w:rPr>
              <m:t>f,T</m:t>
            </m:r>
          </m:e>
        </m:d>
      </m:oMath>
      <w:r w:rsidRPr="00B44EBE">
        <w:t xml:space="preserve"> </w:t>
      </w:r>
      <w:r w:rsidRPr="00857C90">
        <w:t>((dB/km)/(g/m</w:t>
      </w:r>
      <w:r w:rsidRPr="00857C90">
        <w:rPr>
          <w:vertAlign w:val="superscript"/>
        </w:rPr>
        <w:t>3</w:t>
      </w:r>
      <w:r w:rsidRPr="00857C90">
        <w:t>))</w:t>
      </w:r>
      <w:r>
        <w:t xml:space="preserve"> </w:t>
      </w:r>
      <w:r w:rsidRPr="00B44EBE">
        <w:t xml:space="preserve">is </w:t>
      </w:r>
      <w:r>
        <w:t xml:space="preserve">the </w:t>
      </w:r>
      <w:r w:rsidRPr="00857C90">
        <w:t>cloud liquid water specific attenuation coefficient</w:t>
      </w:r>
      <w:r>
        <w:t xml:space="preserve">, and is a function of the frequency </w:t>
      </w:r>
      <m:oMath>
        <m:r>
          <m:rPr>
            <m:sty m:val="p"/>
          </m:rPr>
          <w:rPr>
            <w:rFonts w:ascii="Cambria Math" w:hAnsi="Cambria Math"/>
          </w:rPr>
          <m:t>f</m:t>
        </m:r>
      </m:oMath>
      <w:r>
        <w:t xml:space="preserve"> and the temperature </w:t>
      </w:r>
      <m:oMath>
        <m:r>
          <m:rPr>
            <m:sty m:val="p"/>
          </m:rPr>
          <w:rPr>
            <w:rFonts w:ascii="Cambria Math" w:hAnsi="Cambria Math"/>
          </w:rPr>
          <m:t>T.</m:t>
        </m:r>
      </m:oMath>
      <w:r w:rsidRPr="00B44EBE">
        <w:t xml:space="preserve"> </w:t>
      </w:r>
      <m:oMath>
        <m:r>
          <w:rPr>
            <w:rFonts w:ascii="Cambria Math" w:hAnsi="Cambria Math"/>
          </w:rPr>
          <m:t>φ</m:t>
        </m:r>
      </m:oMath>
      <w:r>
        <w:t xml:space="preserve"> is the elevation angle. The derivation of both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red</m:t>
            </m:r>
          </m:sub>
        </m:sSub>
      </m:oMath>
      <w:r>
        <w:rPr>
          <w:rFonts w:eastAsiaTheme="minorEastAsia"/>
        </w:rPr>
        <w:t xml:space="preserve">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l</m:t>
            </m:r>
          </m:sub>
        </m:sSub>
        <m:d>
          <m:dPr>
            <m:ctrlPr>
              <w:rPr>
                <w:rFonts w:ascii="Cambria Math" w:hAnsi="Cambria Math"/>
              </w:rPr>
            </m:ctrlPr>
          </m:dPr>
          <m:e>
            <m:r>
              <m:rPr>
                <m:sty m:val="p"/>
              </m:rPr>
              <w:rPr>
                <w:rFonts w:ascii="Cambria Math" w:hAnsi="Cambria Math"/>
              </w:rPr>
              <m:t>f,T</m:t>
            </m:r>
          </m:e>
        </m:d>
      </m:oMath>
      <w:r>
        <w:rPr>
          <w:rFonts w:eastAsiaTheme="minorEastAsia"/>
        </w:rPr>
        <w:t xml:space="preserve"> can be found in [5].</w:t>
      </w:r>
    </w:p>
    <w:p w14:paraId="17238FE0" w14:textId="39288C03" w:rsidR="00CF0B86" w:rsidRPr="00DF15C2" w:rsidRDefault="00CF0B86" w:rsidP="00CF0B86">
      <w:r w:rsidRPr="00DF15C2">
        <w:rPr>
          <w:b/>
          <w:i/>
          <w:u w:val="single"/>
        </w:rPr>
        <w:t>Proposal</w:t>
      </w:r>
      <w:r>
        <w:rPr>
          <w:b/>
          <w:i/>
          <w:u w:val="single"/>
        </w:rPr>
        <w:t xml:space="preserve"> 2</w:t>
      </w:r>
      <w:r w:rsidRPr="00DF15C2">
        <w:rPr>
          <w:b/>
          <w:i/>
          <w:u w:val="single"/>
        </w:rPr>
        <w:t>:</w:t>
      </w:r>
      <w:r w:rsidRPr="00DF15C2">
        <w:t xml:space="preserve"> </w:t>
      </w:r>
      <w:r>
        <w:rPr>
          <w:i/>
        </w:rPr>
        <w:t>Cloud</w:t>
      </w:r>
      <w:r w:rsidRPr="00DF15C2">
        <w:rPr>
          <w:i/>
        </w:rPr>
        <w:t xml:space="preserve"> </w:t>
      </w:r>
      <w:r>
        <w:rPr>
          <w:i/>
        </w:rPr>
        <w:t>attenuation should be considered for frequencies above 6 GHz</w:t>
      </w:r>
      <w:r w:rsidRPr="00DF15C2">
        <w:rPr>
          <w:i/>
        </w:rPr>
        <w:t>.</w:t>
      </w:r>
      <w:r>
        <w:rPr>
          <w:i/>
        </w:rPr>
        <w:t xml:space="preserve"> The cloud and fog attenuation model </w:t>
      </w:r>
      <w:r w:rsidR="00E24009">
        <w:rPr>
          <w:i/>
        </w:rPr>
        <w:t>should be based on</w:t>
      </w:r>
      <w:r>
        <w:rPr>
          <w:i/>
        </w:rPr>
        <w:t xml:space="preserve"> </w:t>
      </w:r>
      <w:r w:rsidRPr="00F90F4D">
        <w:rPr>
          <w:i/>
        </w:rPr>
        <w:t>§</w:t>
      </w:r>
      <w:r>
        <w:rPr>
          <w:i/>
        </w:rPr>
        <w:t>3.1</w:t>
      </w:r>
      <w:r w:rsidRPr="00F90F4D">
        <w:rPr>
          <w:i/>
        </w:rPr>
        <w:t xml:space="preserve"> </w:t>
      </w:r>
      <w:r>
        <w:rPr>
          <w:i/>
        </w:rPr>
        <w:t>of ITU-R P. 840.</w:t>
      </w:r>
    </w:p>
    <w:p w14:paraId="1CC736AA" w14:textId="77777777" w:rsidR="002B3A7C" w:rsidRPr="001E0E46" w:rsidRDefault="002B3A7C">
      <w:pPr>
        <w:rPr>
          <w:sz w:val="20"/>
          <w:lang w:eastAsia="sv-SE"/>
        </w:rPr>
      </w:pPr>
    </w:p>
    <w:p w14:paraId="0579B305" w14:textId="4C81A686" w:rsidR="0094403B" w:rsidRPr="00BC024D" w:rsidRDefault="009A026B" w:rsidP="0094403B">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Conclusion</w:t>
      </w:r>
    </w:p>
    <w:p w14:paraId="7F10D6FF" w14:textId="77777777" w:rsidR="00281536" w:rsidRPr="00803871" w:rsidRDefault="00281536" w:rsidP="00281536">
      <w:r w:rsidRPr="00803871">
        <w:t>I</w:t>
      </w:r>
      <w:r>
        <w:t xml:space="preserve">n this document, we considered </w:t>
      </w:r>
      <w:r w:rsidRPr="00803871">
        <w:t>model</w:t>
      </w:r>
      <w:r>
        <w:t>s</w:t>
      </w:r>
      <w:r w:rsidRPr="00803871">
        <w:t xml:space="preserve"> to </w:t>
      </w:r>
      <w:r>
        <w:t xml:space="preserve">estimate the attenuation due to rain and cloud, the effects of which can be significant for higher frequencies. Accordingly, we </w:t>
      </w:r>
      <w:r w:rsidRPr="00803871">
        <w:t>propose the following</w:t>
      </w:r>
      <w:r>
        <w:t xml:space="preserve"> for the NTN channel model</w:t>
      </w:r>
      <w:r w:rsidRPr="00803871">
        <w:t>:</w:t>
      </w:r>
    </w:p>
    <w:p w14:paraId="7E2E6F5C" w14:textId="77777777" w:rsidR="004A41DD" w:rsidRPr="001E0E46" w:rsidRDefault="004A41DD" w:rsidP="004A41DD">
      <w:pPr>
        <w:rPr>
          <w:sz w:val="20"/>
          <w:lang w:eastAsia="sv-SE"/>
        </w:rPr>
      </w:pPr>
      <w:r w:rsidRPr="00DF15C2">
        <w:rPr>
          <w:b/>
          <w:i/>
          <w:u w:val="single"/>
        </w:rPr>
        <w:t>Proposal</w:t>
      </w:r>
      <w:r>
        <w:rPr>
          <w:b/>
          <w:i/>
          <w:u w:val="single"/>
        </w:rPr>
        <w:t xml:space="preserve"> 1</w:t>
      </w:r>
      <w:r w:rsidRPr="00DF15C2">
        <w:rPr>
          <w:b/>
          <w:i/>
          <w:u w:val="single"/>
        </w:rPr>
        <w:t>:</w:t>
      </w:r>
      <w:r w:rsidRPr="00DF15C2">
        <w:t xml:space="preserve"> </w:t>
      </w:r>
      <w:r>
        <w:rPr>
          <w:i/>
        </w:rPr>
        <w:t>Rain</w:t>
      </w:r>
      <w:r w:rsidRPr="00DF15C2">
        <w:rPr>
          <w:i/>
        </w:rPr>
        <w:t xml:space="preserve"> </w:t>
      </w:r>
      <w:r>
        <w:rPr>
          <w:i/>
        </w:rPr>
        <w:t>attenuation should be considered for frequencies above 6 GHz</w:t>
      </w:r>
      <w:r w:rsidRPr="00DF15C2">
        <w:rPr>
          <w:i/>
        </w:rPr>
        <w:t>.</w:t>
      </w:r>
      <w:r>
        <w:rPr>
          <w:i/>
        </w:rPr>
        <w:t xml:space="preserve"> The combined rain and wet snow attenuation model should be based on </w:t>
      </w:r>
      <w:r w:rsidRPr="00F90F4D">
        <w:rPr>
          <w:i/>
        </w:rPr>
        <w:t xml:space="preserve">§2.4.2 </w:t>
      </w:r>
      <w:r>
        <w:rPr>
          <w:i/>
        </w:rPr>
        <w:t>of ITU-R P. 530.</w:t>
      </w:r>
    </w:p>
    <w:p w14:paraId="0A079896" w14:textId="77777777" w:rsidR="004A41DD" w:rsidRPr="00DF15C2" w:rsidRDefault="004A41DD" w:rsidP="004A41DD">
      <w:r w:rsidRPr="00DF15C2">
        <w:rPr>
          <w:b/>
          <w:i/>
          <w:u w:val="single"/>
        </w:rPr>
        <w:t>Proposal</w:t>
      </w:r>
      <w:r>
        <w:rPr>
          <w:b/>
          <w:i/>
          <w:u w:val="single"/>
        </w:rPr>
        <w:t xml:space="preserve"> 2</w:t>
      </w:r>
      <w:r w:rsidRPr="00DF15C2">
        <w:rPr>
          <w:b/>
          <w:i/>
          <w:u w:val="single"/>
        </w:rPr>
        <w:t>:</w:t>
      </w:r>
      <w:r w:rsidRPr="00DF15C2">
        <w:t xml:space="preserve"> </w:t>
      </w:r>
      <w:r>
        <w:rPr>
          <w:i/>
        </w:rPr>
        <w:t>Cloud</w:t>
      </w:r>
      <w:r w:rsidRPr="00DF15C2">
        <w:rPr>
          <w:i/>
        </w:rPr>
        <w:t xml:space="preserve"> </w:t>
      </w:r>
      <w:r>
        <w:rPr>
          <w:i/>
        </w:rPr>
        <w:t>attenuation should be considered for frequencies above 6 GHz</w:t>
      </w:r>
      <w:r w:rsidRPr="00DF15C2">
        <w:rPr>
          <w:i/>
        </w:rPr>
        <w:t>.</w:t>
      </w:r>
      <w:r>
        <w:rPr>
          <w:i/>
        </w:rPr>
        <w:t xml:space="preserve"> The cloud and fog attenuation model should be based on </w:t>
      </w:r>
      <w:r w:rsidRPr="00F90F4D">
        <w:rPr>
          <w:i/>
        </w:rPr>
        <w:t>§</w:t>
      </w:r>
      <w:r>
        <w:rPr>
          <w:i/>
        </w:rPr>
        <w:t>3.1</w:t>
      </w:r>
      <w:r w:rsidRPr="00F90F4D">
        <w:rPr>
          <w:i/>
        </w:rPr>
        <w:t xml:space="preserve"> </w:t>
      </w:r>
      <w:r>
        <w:rPr>
          <w:i/>
        </w:rPr>
        <w:t>of ITU-R P. 840.</w:t>
      </w:r>
    </w:p>
    <w:p w14:paraId="7A7E4D34" w14:textId="31CFB118" w:rsidR="00746CE2" w:rsidRPr="001E0E46" w:rsidRDefault="00746CE2" w:rsidP="003242DD">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4DE8EA68" w14:textId="6DD5E29A" w:rsidR="002B6290" w:rsidRPr="003C5193" w:rsidRDefault="002B6290" w:rsidP="002B6290">
      <w:pPr>
        <w:pStyle w:val="Reference"/>
        <w:numPr>
          <w:ilvl w:val="0"/>
          <w:numId w:val="16"/>
        </w:numPr>
        <w:overflowPunct/>
        <w:autoSpaceDE/>
        <w:autoSpaceDN/>
        <w:adjustRightInd/>
        <w:spacing w:after="160" w:line="256" w:lineRule="auto"/>
        <w:jc w:val="left"/>
        <w:textAlignment w:val="auto"/>
      </w:pPr>
      <w:r w:rsidRPr="003C5193">
        <w:t>Chairman's Notes</w:t>
      </w:r>
      <w:r>
        <w:t>, 3GPP TSG</w:t>
      </w:r>
      <w:r w:rsidRPr="003C5193">
        <w:t xml:space="preserve"> RAN1 </w:t>
      </w:r>
      <w:r>
        <w:t>meeting #</w:t>
      </w:r>
      <w:r w:rsidRPr="003C5193">
        <w:t>92b</w:t>
      </w:r>
      <w:r>
        <w:t>is, Sanya, China, April 16</w:t>
      </w:r>
      <w:r w:rsidRPr="002B6290">
        <w:rPr>
          <w:vertAlign w:val="superscript"/>
        </w:rPr>
        <w:t>th</w:t>
      </w:r>
      <w:r>
        <w:t xml:space="preserve"> – 20</w:t>
      </w:r>
      <w:r w:rsidRPr="002B6290">
        <w:rPr>
          <w:vertAlign w:val="superscript"/>
        </w:rPr>
        <w:t>th</w:t>
      </w:r>
      <w:r>
        <w:t xml:space="preserve">, 2018 </w:t>
      </w:r>
    </w:p>
    <w:p w14:paraId="7B757C08" w14:textId="77777777" w:rsidR="002B6290" w:rsidRPr="003C5193" w:rsidRDefault="002B6290" w:rsidP="002B6290">
      <w:pPr>
        <w:pStyle w:val="Reference"/>
        <w:numPr>
          <w:ilvl w:val="0"/>
          <w:numId w:val="16"/>
        </w:numPr>
        <w:overflowPunct/>
        <w:autoSpaceDE/>
        <w:autoSpaceDN/>
        <w:adjustRightInd/>
        <w:spacing w:after="160" w:line="256" w:lineRule="auto"/>
        <w:jc w:val="left"/>
        <w:textAlignment w:val="auto"/>
      </w:pPr>
      <w:r w:rsidRPr="003C5193">
        <w:t>Recommendation ITU-R P.</w:t>
      </w:r>
      <w:r>
        <w:t>530-17</w:t>
      </w:r>
      <w:r w:rsidRPr="003C5193">
        <w:t>, “Propagation data and prediction methods required for the design of terrestrial line-of-sight systems”.</w:t>
      </w:r>
    </w:p>
    <w:p w14:paraId="65244075" w14:textId="77777777" w:rsidR="002B6290" w:rsidRPr="003C5193" w:rsidRDefault="002B6290" w:rsidP="002B6290">
      <w:pPr>
        <w:pStyle w:val="Reference"/>
        <w:numPr>
          <w:ilvl w:val="0"/>
          <w:numId w:val="16"/>
        </w:numPr>
        <w:overflowPunct/>
        <w:autoSpaceDE/>
        <w:autoSpaceDN/>
        <w:adjustRightInd/>
        <w:spacing w:after="160" w:line="256" w:lineRule="auto"/>
        <w:jc w:val="left"/>
        <w:textAlignment w:val="auto"/>
      </w:pPr>
      <w:r w:rsidRPr="003C5193">
        <w:t>Recommendation ITU-R P.</w:t>
      </w:r>
      <w:r>
        <w:t>839-4</w:t>
      </w:r>
      <w:r w:rsidRPr="003C5193">
        <w:t>, “Rain height model for prediction methods”.</w:t>
      </w:r>
    </w:p>
    <w:p w14:paraId="3AC9A497" w14:textId="4B5EBCA6" w:rsidR="002B6290" w:rsidRPr="003C5193" w:rsidRDefault="002B6290" w:rsidP="002B6290">
      <w:pPr>
        <w:pStyle w:val="Reference"/>
        <w:numPr>
          <w:ilvl w:val="0"/>
          <w:numId w:val="16"/>
        </w:numPr>
        <w:overflowPunct/>
        <w:autoSpaceDE/>
        <w:autoSpaceDN/>
        <w:adjustRightInd/>
        <w:spacing w:after="160" w:line="256" w:lineRule="auto"/>
        <w:jc w:val="left"/>
        <w:textAlignment w:val="auto"/>
      </w:pPr>
      <w:r w:rsidRPr="003C5193">
        <w:t>R1-180</w:t>
      </w:r>
      <w:r>
        <w:t>5078</w:t>
      </w:r>
      <w:r w:rsidRPr="003C5193">
        <w:t xml:space="preserve">, “NR-NTN: Link budget analysis”, </w:t>
      </w:r>
      <w:r>
        <w:t>THALES</w:t>
      </w:r>
      <w:r w:rsidRPr="003C5193">
        <w:t>, 3GPP TSG RAN1 meeting #92</w:t>
      </w:r>
      <w:r>
        <w:t>b</w:t>
      </w:r>
      <w:r w:rsidR="00676D0B">
        <w:t>is, Sanya, China, April 16</w:t>
      </w:r>
      <w:r w:rsidR="00676D0B" w:rsidRPr="00676D0B">
        <w:rPr>
          <w:vertAlign w:val="superscript"/>
        </w:rPr>
        <w:t>th</w:t>
      </w:r>
      <w:r w:rsidR="00676D0B">
        <w:t xml:space="preserve"> – 20</w:t>
      </w:r>
      <w:r w:rsidR="00676D0B" w:rsidRPr="00676D0B">
        <w:rPr>
          <w:vertAlign w:val="superscript"/>
        </w:rPr>
        <w:t>th</w:t>
      </w:r>
      <w:r w:rsidR="00676D0B">
        <w:t xml:space="preserve">, 2018 </w:t>
      </w:r>
    </w:p>
    <w:p w14:paraId="64BC17C2" w14:textId="60ABCBFC" w:rsidR="002B6290" w:rsidRPr="003C5193" w:rsidRDefault="002B6290" w:rsidP="002B6290">
      <w:pPr>
        <w:pStyle w:val="Reference"/>
        <w:numPr>
          <w:ilvl w:val="0"/>
          <w:numId w:val="16"/>
        </w:numPr>
        <w:overflowPunct/>
        <w:autoSpaceDE/>
        <w:autoSpaceDN/>
        <w:adjustRightInd/>
        <w:spacing w:after="160" w:line="256" w:lineRule="auto"/>
        <w:jc w:val="left"/>
        <w:textAlignment w:val="auto"/>
      </w:pPr>
      <w:r w:rsidRPr="003C5193">
        <w:t>Recommendation ITU-R P.</w:t>
      </w:r>
      <w:r>
        <w:t>8</w:t>
      </w:r>
      <w:r w:rsidR="00676D0B">
        <w:t>40-7</w:t>
      </w:r>
      <w:r w:rsidRPr="003C5193">
        <w:t>, “Attenuation due to clouds and fog</w:t>
      </w:r>
      <w:r>
        <w:t>”</w:t>
      </w:r>
    </w:p>
    <w:p w14:paraId="1CA3A936" w14:textId="49FB6F48" w:rsidR="00E246F8" w:rsidRPr="001E0E46" w:rsidRDefault="00E246F8" w:rsidP="002B6290">
      <w:pPr>
        <w:pStyle w:val="Reference"/>
        <w:numPr>
          <w:ilvl w:val="0"/>
          <w:numId w:val="0"/>
        </w:numPr>
        <w:ind w:left="567"/>
        <w:rPr>
          <w:szCs w:val="22"/>
        </w:rPr>
      </w:pPr>
    </w:p>
    <w:sectPr w:rsidR="00E246F8" w:rsidRPr="001E0E4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D05BD" w14:textId="77777777" w:rsidR="00836434" w:rsidRDefault="00836434">
      <w:r>
        <w:separator/>
      </w:r>
    </w:p>
  </w:endnote>
  <w:endnote w:type="continuationSeparator" w:id="0">
    <w:p w14:paraId="7778CE75" w14:textId="77777777" w:rsidR="00836434" w:rsidRDefault="00836434">
      <w:r>
        <w:continuationSeparator/>
      </w:r>
    </w:p>
  </w:endnote>
  <w:endnote w:type="continuationNotice" w:id="1">
    <w:p w14:paraId="2BFD8756" w14:textId="77777777" w:rsidR="00836434" w:rsidRDefault="00836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45159148"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289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289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6DE5B" w14:textId="77777777" w:rsidR="00836434" w:rsidRDefault="00836434">
      <w:r>
        <w:separator/>
      </w:r>
    </w:p>
  </w:footnote>
  <w:footnote w:type="continuationSeparator" w:id="0">
    <w:p w14:paraId="2D65F0FE" w14:textId="77777777" w:rsidR="00836434" w:rsidRDefault="00836434">
      <w:r>
        <w:continuationSeparator/>
      </w:r>
    </w:p>
  </w:footnote>
  <w:footnote w:type="continuationNotice" w:id="1">
    <w:p w14:paraId="019CC6B0" w14:textId="77777777" w:rsidR="00836434" w:rsidRDefault="00836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3"/>
  </w:num>
  <w:num w:numId="10">
    <w:abstractNumId w:val="3"/>
  </w:num>
  <w:num w:numId="11">
    <w:abstractNumId w:val="1"/>
  </w:num>
  <w:num w:numId="12">
    <w:abstractNumId w:val="9"/>
  </w:num>
  <w:num w:numId="13">
    <w:abstractNumId w:val="12"/>
  </w:num>
  <w:num w:numId="14">
    <w:abstractNumId w:val="2"/>
  </w:num>
  <w:num w:numId="15">
    <w:abstractNumId w:val="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8E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2899"/>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536"/>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290"/>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182"/>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F93"/>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1DD"/>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78C"/>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51AB"/>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57F2A"/>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5F"/>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DA6"/>
    <w:rsid w:val="005E246B"/>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3C8"/>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0B"/>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34D"/>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645"/>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A97"/>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643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26B"/>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CD6"/>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317"/>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540B"/>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635"/>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337"/>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86"/>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1365"/>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D3A"/>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0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69B7"/>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390"/>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52F2"/>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708"/>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2C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7A959B20-4DE1-4E4D-8089-F15B9826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107</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26</cp:revision>
  <cp:lastPrinted>2014-08-07T20:35:00Z</cp:lastPrinted>
  <dcterms:created xsi:type="dcterms:W3CDTF">2018-05-11T14:27:00Z</dcterms:created>
  <dcterms:modified xsi:type="dcterms:W3CDTF">2018-05-11T22:51:00Z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